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No.02/LG280/TCL-1200000/2025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tes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51332002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BODP JAR AKS FIBER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OPEX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138046.0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December 2025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item 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12.0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120.0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120.0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SILVIA RENATA DA ROSA OLIVEIRA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Procurement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DEDY EDWARD AMBARITA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Finance Business Partner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JOANICA PEREIRA DOS SANTOS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Legal &amp; Regulatory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media/image3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